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6E" w:rsidRPr="001553BB" w:rsidRDefault="006F146E" w:rsidP="006F146E">
      <w:pPr>
        <w:jc w:val="center"/>
        <w:rPr>
          <w:rFonts w:eastAsia="Calibri"/>
          <w:b/>
          <w:sz w:val="28"/>
          <w:szCs w:val="28"/>
        </w:rPr>
      </w:pPr>
    </w:p>
    <w:p w:rsidR="006F146E" w:rsidRPr="001553BB" w:rsidRDefault="006F146E" w:rsidP="006F146E">
      <w:pPr>
        <w:jc w:val="center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t xml:space="preserve">Методические рекомендации </w:t>
      </w:r>
    </w:p>
    <w:p w:rsidR="006F146E" w:rsidRPr="001553BB" w:rsidRDefault="006F146E" w:rsidP="006F146E">
      <w:pPr>
        <w:jc w:val="center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t xml:space="preserve">по организации конференций </w:t>
      </w:r>
      <w:r w:rsidRPr="001553BB">
        <w:rPr>
          <w:rFonts w:eastAsia="Calibri"/>
          <w:b/>
          <w:sz w:val="28"/>
          <w:szCs w:val="28"/>
          <w:lang w:val="en-US"/>
        </w:rPr>
        <w:t>I</w:t>
      </w:r>
      <w:r w:rsidRPr="001553BB">
        <w:rPr>
          <w:rFonts w:eastAsia="Calibri"/>
          <w:b/>
          <w:sz w:val="28"/>
          <w:szCs w:val="28"/>
        </w:rPr>
        <w:t xml:space="preserve"> и </w:t>
      </w:r>
      <w:r w:rsidRPr="001553BB">
        <w:rPr>
          <w:rFonts w:eastAsia="Calibri"/>
          <w:b/>
          <w:sz w:val="28"/>
          <w:szCs w:val="28"/>
          <w:lang w:val="en-US"/>
        </w:rPr>
        <w:t>II</w:t>
      </w:r>
      <w:r w:rsidRPr="001553BB">
        <w:rPr>
          <w:rFonts w:eastAsia="Calibri"/>
          <w:b/>
          <w:sz w:val="28"/>
          <w:szCs w:val="28"/>
        </w:rPr>
        <w:t xml:space="preserve"> этапов Московского городского конкурса исследовательских и проектных работ обучающихся общеобразовательных учреждений</w:t>
      </w:r>
    </w:p>
    <w:p w:rsidR="006F146E" w:rsidRPr="001553BB" w:rsidRDefault="006F146E" w:rsidP="006F146E">
      <w:pPr>
        <w:jc w:val="center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t>Введение.</w:t>
      </w:r>
    </w:p>
    <w:p w:rsidR="006F146E" w:rsidRPr="001553BB" w:rsidRDefault="006F146E" w:rsidP="006F146E">
      <w:pPr>
        <w:ind w:left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В соответствии с требованиями ФГОС проектная и исследовательская деятельность становится обязательной для выполнения всеми школьниками, особенно в 10-11 классах. Теперь образовательная программа учреждения должна включать программу развития универсальных учебных действий, обеспечивающую «формирование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1553BB">
        <w:rPr>
          <w:rFonts w:eastAsia="Calibri"/>
          <w:sz w:val="28"/>
          <w:szCs w:val="28"/>
        </w:rPr>
        <w:t>обучающимися</w:t>
      </w:r>
      <w:proofErr w:type="gramEnd"/>
      <w:r w:rsidRPr="001553BB">
        <w:rPr>
          <w:rFonts w:eastAsia="Calibri"/>
          <w:sz w:val="28"/>
          <w:szCs w:val="28"/>
        </w:rPr>
        <w:t xml:space="preserve"> результатов исследования, предметного или </w:t>
      </w:r>
      <w:proofErr w:type="spellStart"/>
      <w:r w:rsidRPr="001553BB">
        <w:rPr>
          <w:rFonts w:eastAsia="Calibri"/>
          <w:sz w:val="28"/>
          <w:szCs w:val="28"/>
        </w:rPr>
        <w:t>межпредметного</w:t>
      </w:r>
      <w:proofErr w:type="spellEnd"/>
      <w:r w:rsidRPr="001553BB">
        <w:rPr>
          <w:rFonts w:eastAsia="Calibri"/>
          <w:sz w:val="28"/>
          <w:szCs w:val="28"/>
        </w:rPr>
        <w:t xml:space="preserve"> учебного проекта, направленного на решение научной, личностно и (или) социально значимой проблемы». Метапредметные результаты освоения учащимися </w:t>
      </w:r>
      <w:proofErr w:type="gramStart"/>
      <w:r w:rsidRPr="001553BB">
        <w:rPr>
          <w:rFonts w:eastAsia="Calibri"/>
          <w:sz w:val="28"/>
          <w:szCs w:val="28"/>
        </w:rPr>
        <w:t>образовательной программы должны, в частности,  отражать «умение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 и по аналогии) и делать выводы».</w:t>
      </w:r>
      <w:proofErr w:type="gramEnd"/>
    </w:p>
    <w:p w:rsidR="006F146E" w:rsidRPr="001553BB" w:rsidRDefault="006F146E" w:rsidP="006F146E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ФГОС для полного общего (среднего) образования предусматривает выполнение учащимися индивидуального проекта, который «представляет собой особую форму организации деятельности </w:t>
      </w:r>
      <w:proofErr w:type="gramStart"/>
      <w:r w:rsidRPr="001553BB">
        <w:rPr>
          <w:rFonts w:eastAsia="Calibri"/>
          <w:sz w:val="28"/>
          <w:szCs w:val="28"/>
        </w:rPr>
        <w:t>обучающихся</w:t>
      </w:r>
      <w:proofErr w:type="gramEnd"/>
      <w:r w:rsidRPr="001553BB">
        <w:rPr>
          <w:rFonts w:eastAsia="Calibri"/>
          <w:sz w:val="28"/>
          <w:szCs w:val="28"/>
        </w:rPr>
        <w:t xml:space="preserve"> (учебное исследование или учебный проект). </w:t>
      </w:r>
      <w:proofErr w:type="gramStart"/>
      <w:r w:rsidRPr="001553BB">
        <w:rPr>
          <w:rFonts w:eastAsia="Calibri"/>
          <w:sz w:val="28"/>
          <w:szCs w:val="28"/>
        </w:rPr>
        <w:t>Выполняется обучающимся самостоятельно под руководством учителя (</w:t>
      </w:r>
      <w:proofErr w:type="spellStart"/>
      <w:r w:rsidRPr="001553BB">
        <w:rPr>
          <w:rFonts w:eastAsia="Calibri"/>
          <w:sz w:val="28"/>
          <w:szCs w:val="28"/>
        </w:rPr>
        <w:t>тьютора</w:t>
      </w:r>
      <w:proofErr w:type="spellEnd"/>
      <w:r w:rsidRPr="001553BB">
        <w:rPr>
          <w:rFonts w:eastAsia="Calibri"/>
          <w:sz w:val="28"/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иной)».</w:t>
      </w:r>
      <w:proofErr w:type="gramEnd"/>
    </w:p>
    <w:p w:rsidR="006F146E" w:rsidRPr="001553BB" w:rsidRDefault="006F146E" w:rsidP="006F146E">
      <w:pPr>
        <w:ind w:firstLine="360"/>
        <w:jc w:val="both"/>
        <w:rPr>
          <w:sz w:val="28"/>
          <w:szCs w:val="28"/>
          <w:lang w:eastAsia="ru-RU"/>
        </w:rPr>
      </w:pPr>
      <w:r w:rsidRPr="001553BB">
        <w:rPr>
          <w:sz w:val="28"/>
          <w:szCs w:val="28"/>
          <w:lang w:eastAsia="ru-RU"/>
        </w:rPr>
        <w:t>Эти означает  что:</w:t>
      </w:r>
    </w:p>
    <w:p w:rsidR="006F146E" w:rsidRPr="001553BB" w:rsidRDefault="006F146E" w:rsidP="006F146E">
      <w:pPr>
        <w:numPr>
          <w:ilvl w:val="0"/>
          <w:numId w:val="2"/>
        </w:numPr>
        <w:tabs>
          <w:tab w:val="num" w:pos="0"/>
        </w:tabs>
        <w:ind w:left="0" w:firstLine="426"/>
        <w:jc w:val="both"/>
        <w:rPr>
          <w:sz w:val="28"/>
          <w:szCs w:val="28"/>
          <w:lang w:eastAsia="ru-RU"/>
        </w:rPr>
      </w:pPr>
      <w:r w:rsidRPr="001553BB">
        <w:rPr>
          <w:sz w:val="28"/>
          <w:szCs w:val="28"/>
          <w:lang w:eastAsia="ru-RU"/>
        </w:rPr>
        <w:t>исследования и проекты будут выполнять все, в т. ч. немотивированные и откровенно «запущенные» школьники;</w:t>
      </w:r>
    </w:p>
    <w:p w:rsidR="006F146E" w:rsidRPr="001553BB" w:rsidRDefault="006F146E" w:rsidP="006F146E">
      <w:pPr>
        <w:numPr>
          <w:ilvl w:val="0"/>
          <w:numId w:val="2"/>
        </w:numPr>
        <w:tabs>
          <w:tab w:val="num" w:pos="0"/>
        </w:tabs>
        <w:ind w:left="0" w:firstLine="426"/>
        <w:jc w:val="both"/>
        <w:rPr>
          <w:sz w:val="28"/>
          <w:szCs w:val="28"/>
          <w:lang w:eastAsia="ru-RU"/>
        </w:rPr>
      </w:pPr>
      <w:r w:rsidRPr="001553BB">
        <w:rPr>
          <w:sz w:val="28"/>
          <w:szCs w:val="28"/>
          <w:lang w:eastAsia="ru-RU"/>
        </w:rPr>
        <w:t>эти работы на старшей ступени являются индивидуальными, т. е. каждый учащийся будет иметь свою тему; нельзя «приписать» к коллективу авторов «</w:t>
      </w:r>
      <w:proofErr w:type="gramStart"/>
      <w:r w:rsidRPr="001553BB">
        <w:rPr>
          <w:sz w:val="28"/>
          <w:szCs w:val="28"/>
          <w:lang w:eastAsia="ru-RU"/>
        </w:rPr>
        <w:t>шалопая-бездельника</w:t>
      </w:r>
      <w:proofErr w:type="gramEnd"/>
      <w:r w:rsidRPr="001553BB">
        <w:rPr>
          <w:sz w:val="28"/>
          <w:szCs w:val="28"/>
          <w:lang w:eastAsia="ru-RU"/>
        </w:rPr>
        <w:t>»;</w:t>
      </w:r>
    </w:p>
    <w:p w:rsidR="006F146E" w:rsidRPr="001553BB" w:rsidRDefault="006F146E" w:rsidP="006F146E">
      <w:pPr>
        <w:numPr>
          <w:ilvl w:val="0"/>
          <w:numId w:val="2"/>
        </w:numPr>
        <w:tabs>
          <w:tab w:val="num" w:pos="0"/>
        </w:tabs>
        <w:ind w:left="0" w:firstLine="426"/>
        <w:jc w:val="both"/>
        <w:rPr>
          <w:sz w:val="28"/>
          <w:szCs w:val="28"/>
          <w:lang w:eastAsia="ru-RU"/>
        </w:rPr>
      </w:pPr>
      <w:r w:rsidRPr="001553BB">
        <w:rPr>
          <w:sz w:val="28"/>
          <w:szCs w:val="28"/>
          <w:lang w:eastAsia="ru-RU"/>
        </w:rPr>
        <w:t>учителям в массовом порядке нужно будет научиться руководить проектами и исследованиями, даже если у них нет склонности к этому, иначе не обеспечить необходимое количество руководителей;</w:t>
      </w:r>
    </w:p>
    <w:p w:rsidR="006F146E" w:rsidRPr="001553BB" w:rsidRDefault="006F146E" w:rsidP="006F146E">
      <w:pPr>
        <w:numPr>
          <w:ilvl w:val="0"/>
          <w:numId w:val="2"/>
        </w:numPr>
        <w:tabs>
          <w:tab w:val="num" w:pos="0"/>
        </w:tabs>
        <w:ind w:left="0" w:firstLine="426"/>
        <w:jc w:val="both"/>
        <w:rPr>
          <w:sz w:val="28"/>
          <w:szCs w:val="28"/>
          <w:lang w:eastAsia="ru-RU"/>
        </w:rPr>
      </w:pPr>
      <w:r w:rsidRPr="001553BB">
        <w:rPr>
          <w:sz w:val="28"/>
          <w:szCs w:val="28"/>
          <w:lang w:eastAsia="ru-RU"/>
        </w:rPr>
        <w:lastRenderedPageBreak/>
        <w:t>должна быть разработана единая методика аттестации обучающихся по результатам выполнения ими исследовательских и проектных работ.</w:t>
      </w:r>
    </w:p>
    <w:p w:rsidR="006F146E" w:rsidRPr="001553BB" w:rsidRDefault="006F146E" w:rsidP="006F146E">
      <w:pPr>
        <w:tabs>
          <w:tab w:val="num" w:pos="0"/>
        </w:tabs>
        <w:ind w:firstLine="426"/>
        <w:contextualSpacing/>
        <w:jc w:val="both"/>
        <w:rPr>
          <w:sz w:val="28"/>
          <w:szCs w:val="28"/>
          <w:lang w:eastAsia="ru-RU"/>
        </w:rPr>
      </w:pPr>
      <w:r w:rsidRPr="001553BB">
        <w:rPr>
          <w:sz w:val="28"/>
          <w:szCs w:val="28"/>
          <w:lang w:eastAsia="ru-RU"/>
        </w:rPr>
        <w:t>Также актуален вопрос об оценке метапред</w:t>
      </w:r>
      <w:r>
        <w:rPr>
          <w:sz w:val="28"/>
          <w:szCs w:val="28"/>
          <w:lang w:eastAsia="ru-RU"/>
        </w:rPr>
        <w:t xml:space="preserve">метных и личностных результатов </w:t>
      </w:r>
      <w:r w:rsidRPr="001553BB">
        <w:rPr>
          <w:sz w:val="28"/>
          <w:szCs w:val="28"/>
          <w:lang w:eastAsia="ru-RU"/>
        </w:rPr>
        <w:t>образования. В требованиях ФГОС общего образования эти типы образовательных результатов отражены наряду с предметными результатами. В реальной же практике определяются в основном предм</w:t>
      </w:r>
      <w:r>
        <w:rPr>
          <w:sz w:val="28"/>
          <w:szCs w:val="28"/>
          <w:lang w:eastAsia="ru-RU"/>
        </w:rPr>
        <w:t>етные достижения (по оценкам</w:t>
      </w:r>
      <w:r w:rsidRPr="001553BB">
        <w:rPr>
          <w:sz w:val="28"/>
          <w:szCs w:val="28"/>
          <w:lang w:eastAsia="ru-RU"/>
        </w:rPr>
        <w:t xml:space="preserve"> ЕГЭ, ГИА, предметных олимпиад и др.). Н</w:t>
      </w:r>
      <w:r w:rsidRPr="001553BB">
        <w:rPr>
          <w:rFonts w:eastAsia="Calibri"/>
          <w:sz w:val="28"/>
          <w:szCs w:val="28"/>
        </w:rPr>
        <w:t xml:space="preserve">а основании диагностики успешности в осуществлении исследовательской и проектной деятельности (как индикатора) может оцениваться уровень метапредметных и  личностных результатов обучения. Эти показатели успешности должны быть заложены в критерии </w:t>
      </w:r>
      <w:r w:rsidRPr="001553BB">
        <w:rPr>
          <w:sz w:val="28"/>
          <w:szCs w:val="28"/>
          <w:lang w:eastAsia="ru-RU"/>
        </w:rPr>
        <w:t>подсчета рейтинга московских школ, что позволит учесть достижения школьников, не склонных к академической успеваемости и интеллектуальным соревнованиям, но имеющих высокий творческий потенциал.  Директора школ будут в большей мере ориентироваться на развитие направлений, прямо не влияющих на повышение уровня предметных результатов, но способствующих развитию метапредметных способностей и личностных качеств.</w:t>
      </w:r>
    </w:p>
    <w:p w:rsidR="006F146E" w:rsidRPr="001553BB" w:rsidRDefault="006F146E" w:rsidP="006F146E">
      <w:pPr>
        <w:tabs>
          <w:tab w:val="num" w:pos="0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Как же оценить качество исследовательских и проектных работ? Здесь необходимы методики диагностики, которые давали бы сопоставимые результаты для  учащихся из разных школ. Но на сегодняшний день  на разных конференциях и конкурсах подходы к оценке выполненных исследований и проектов различаются: где-то главное значение имеет текст работы, кто-то обращает </w:t>
      </w:r>
      <w:proofErr w:type="gramStart"/>
      <w:r w:rsidRPr="001553BB">
        <w:rPr>
          <w:rFonts w:eastAsia="Calibri"/>
          <w:sz w:val="28"/>
          <w:szCs w:val="28"/>
        </w:rPr>
        <w:t>внимание</w:t>
      </w:r>
      <w:proofErr w:type="gramEnd"/>
      <w:r w:rsidRPr="001553BB">
        <w:rPr>
          <w:rFonts w:eastAsia="Calibri"/>
          <w:sz w:val="28"/>
          <w:szCs w:val="28"/>
        </w:rPr>
        <w:t xml:space="preserve"> прежде всего на качество выступления, а для кого-то наибольшее значение имеет «энтузиазм в глазах ребе</w:t>
      </w:r>
      <w:r>
        <w:rPr>
          <w:rFonts w:eastAsia="Calibri"/>
          <w:sz w:val="28"/>
          <w:szCs w:val="28"/>
        </w:rPr>
        <w:t>нка», зависящи</w:t>
      </w:r>
      <w:r w:rsidRPr="001553BB">
        <w:rPr>
          <w:rFonts w:eastAsia="Calibri"/>
          <w:sz w:val="28"/>
          <w:szCs w:val="28"/>
        </w:rPr>
        <w:t xml:space="preserve">й от мотивации к самостоятельной работе, что, безусловно, тоже определяет образовательный результат выполненного исследования.  </w:t>
      </w:r>
    </w:p>
    <w:p w:rsidR="006F146E" w:rsidRPr="001553BB" w:rsidRDefault="006F146E" w:rsidP="006F146E">
      <w:pPr>
        <w:tabs>
          <w:tab w:val="num" w:pos="0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Действительно,  как оценить уровень «культуры исследовательской и проектной деятельности», «умение определять понятия, создавать обобщения, устанавливать аналогии…»? Видимо, только экспертным путем, на основе единых    критериев и регламентов. Поэтому сейчас стоит задача формирования в Москве экспертного сообщества, члены которого владеют едиными критериями экспертизы иссл</w:t>
      </w:r>
      <w:r>
        <w:rPr>
          <w:rFonts w:eastAsia="Calibri"/>
          <w:sz w:val="28"/>
          <w:szCs w:val="28"/>
        </w:rPr>
        <w:t>едовательских и проектных работ,</w:t>
      </w:r>
      <w:r w:rsidRPr="001553BB">
        <w:rPr>
          <w:rFonts w:eastAsia="Calibri"/>
          <w:sz w:val="28"/>
          <w:szCs w:val="28"/>
        </w:rPr>
        <w:t xml:space="preserve"> и системы конференций, организованн</w:t>
      </w:r>
      <w:r>
        <w:rPr>
          <w:rFonts w:eastAsia="Calibri"/>
          <w:sz w:val="28"/>
          <w:szCs w:val="28"/>
        </w:rPr>
        <w:t>ых по территориальному принципу</w:t>
      </w:r>
      <w:r w:rsidRPr="001553BB">
        <w:rPr>
          <w:rFonts w:eastAsia="Calibri"/>
          <w:sz w:val="28"/>
          <w:szCs w:val="28"/>
        </w:rPr>
        <w:t xml:space="preserve"> с единым регламентом и дающих сопоставимые результаты при оценке работ школьников. На это и направлена создаваемая в рамках Московского городского конкурса исследовательских и проектных </w:t>
      </w:r>
      <w:r>
        <w:rPr>
          <w:rFonts w:eastAsia="Calibri"/>
          <w:sz w:val="28"/>
          <w:szCs w:val="28"/>
        </w:rPr>
        <w:t xml:space="preserve">работ </w:t>
      </w:r>
      <w:r w:rsidRPr="001553BB">
        <w:rPr>
          <w:rFonts w:eastAsia="Calibri"/>
          <w:sz w:val="28"/>
          <w:szCs w:val="28"/>
        </w:rPr>
        <w:t>школьников система конференций на базе Межрайонных советов директоров</w:t>
      </w:r>
      <w:r w:rsidRPr="001553BB">
        <w:rPr>
          <w:rFonts w:eastAsia="Calibri"/>
        </w:rPr>
        <w:t xml:space="preserve"> </w:t>
      </w:r>
      <w:r w:rsidRPr="001553BB">
        <w:rPr>
          <w:rFonts w:eastAsia="Calibri"/>
          <w:sz w:val="28"/>
          <w:szCs w:val="28"/>
        </w:rPr>
        <w:t xml:space="preserve">образовательных организаций, находящихся на территории города Москвы. </w:t>
      </w:r>
    </w:p>
    <w:p w:rsidR="006F146E" w:rsidRPr="001553BB" w:rsidRDefault="006F146E" w:rsidP="006F146E">
      <w:pPr>
        <w:tabs>
          <w:tab w:val="num" w:pos="0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Базовые конфере</w:t>
      </w:r>
      <w:r>
        <w:rPr>
          <w:rFonts w:eastAsia="Calibri"/>
          <w:sz w:val="28"/>
          <w:szCs w:val="28"/>
        </w:rPr>
        <w:t xml:space="preserve">нции, которые много лет работали </w:t>
      </w:r>
      <w:r w:rsidRPr="001553BB">
        <w:rPr>
          <w:rFonts w:eastAsia="Calibri"/>
          <w:sz w:val="28"/>
          <w:szCs w:val="28"/>
        </w:rPr>
        <w:t xml:space="preserve">в рамках Конкурса, владеют значительным методологическим потенциалом, но они не в состоянии охватить всех учащихся, которые будут выполнять исследования и </w:t>
      </w:r>
      <w:r w:rsidRPr="001553BB">
        <w:rPr>
          <w:rFonts w:eastAsia="Calibri"/>
          <w:sz w:val="28"/>
          <w:szCs w:val="28"/>
        </w:rPr>
        <w:lastRenderedPageBreak/>
        <w:t>проекты в рамках ФГОС. Поэтому на базе образовательных учреждений, проводящих такие конференции, создаются ресурсные центры по научно-методическому сопровождению   предметных направлений Конкурса.</w:t>
      </w:r>
    </w:p>
    <w:p w:rsidR="006F146E" w:rsidRPr="001553BB" w:rsidRDefault="006F146E" w:rsidP="006F146E">
      <w:pPr>
        <w:tabs>
          <w:tab w:val="num" w:pos="0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Таким образом, основным звеном, координирующим развитие исследовательской и проектной деятельности в Москве, будут межрайонные советы директоров. Их функции:</w:t>
      </w:r>
    </w:p>
    <w:p w:rsidR="006F146E" w:rsidRPr="001553BB" w:rsidRDefault="006F146E" w:rsidP="006F146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обеспечение организационно-информационного сопровождения работы школ своей территории по этому направлению;</w:t>
      </w:r>
    </w:p>
    <w:p w:rsidR="006F146E" w:rsidRPr="001553BB" w:rsidRDefault="006F146E" w:rsidP="006F146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координация подготовки и организация консультирования руководителей исследовательских и проектных работ и экспертов школьных и межрайонной конференций;</w:t>
      </w:r>
    </w:p>
    <w:p w:rsidR="006F146E" w:rsidRPr="001553BB" w:rsidRDefault="006F146E" w:rsidP="006F146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проведение межрайонной конференции, входящей в Московский городской конкурс исследовательских и проектных работ школьников, в соответствии с установленными требованиями и по ее итогам представление победителей на городской финал.</w:t>
      </w:r>
    </w:p>
    <w:p w:rsidR="006F146E" w:rsidRPr="001553BB" w:rsidRDefault="006F146E" w:rsidP="006F146E">
      <w:pPr>
        <w:tabs>
          <w:tab w:val="num" w:pos="0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Функции ресурсного центра по тематическому направлению Конкурса: </w:t>
      </w:r>
    </w:p>
    <w:p w:rsidR="006F146E" w:rsidRPr="001553BB" w:rsidRDefault="006F146E" w:rsidP="006F146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обеспечение методического сопровождения работы межрайонных конференций по своему направлению;</w:t>
      </w:r>
    </w:p>
    <w:p w:rsidR="006F146E" w:rsidRPr="001553BB" w:rsidRDefault="006F146E" w:rsidP="006F146E">
      <w:pPr>
        <w:numPr>
          <w:ilvl w:val="0"/>
          <w:numId w:val="3"/>
        </w:numPr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проведение семинаров, консультаций по своему направлению.</w:t>
      </w:r>
    </w:p>
    <w:p w:rsidR="006F146E" w:rsidRPr="001553BB" w:rsidRDefault="006F146E" w:rsidP="006F146E">
      <w:pPr>
        <w:tabs>
          <w:tab w:val="num" w:pos="0"/>
        </w:tabs>
        <w:ind w:firstLine="426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numPr>
          <w:ilvl w:val="0"/>
          <w:numId w:val="1"/>
        </w:numPr>
        <w:contextualSpacing/>
        <w:jc w:val="both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t>Координатор развития исследовательской и проектной деятельности учащихся межрайонного совета директоров.</w:t>
      </w:r>
    </w:p>
    <w:p w:rsidR="006F146E" w:rsidRPr="001553BB" w:rsidRDefault="006F146E" w:rsidP="006F146E">
      <w:pPr>
        <w:tabs>
          <w:tab w:val="num" w:pos="0"/>
        </w:tabs>
        <w:ind w:firstLine="426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tabs>
          <w:tab w:val="num" w:pos="0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Центральной фигурой в работе по направлению «Организация исследовательской и проектной деятельности» является координатор межрайонного совета директоров. Он является специалистом, который знает потенциал школ своей территории в этой области, находится на связи с координаторами этой работы в школах и с Городским оргкомитетом; контролирует выполнение плана развития исследовательской и проектной деятельности межрайонного совета и планы работы каждой школы в этом направлении.</w:t>
      </w:r>
    </w:p>
    <w:p w:rsidR="006F146E" w:rsidRPr="001553BB" w:rsidRDefault="006F146E" w:rsidP="006F146E">
      <w:pPr>
        <w:tabs>
          <w:tab w:val="num" w:pos="0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Как правило, координатор работает в школе, на базе которой проводится межрайонная конференция. Координатору рекомендуется пройти курсы повышения квалификации на базе ЦПМ «Развитие таланта школьников в предметных областях. Организация и проведение этапов всероссийской олимпиады школьников и других интеллектуальных соревнований». Желательно, чтобы он имел практику руководства исследовательскими или проектными работами школьников.  </w:t>
      </w:r>
    </w:p>
    <w:p w:rsidR="006F146E" w:rsidRPr="001553BB" w:rsidRDefault="006F146E" w:rsidP="006F146E">
      <w:pPr>
        <w:tabs>
          <w:tab w:val="num" w:pos="0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Координатор участвует в работе межрайонного Оргкомитета, является его ответственным секретарем и ведет соответствующую документацию. </w:t>
      </w:r>
    </w:p>
    <w:p w:rsidR="006F146E" w:rsidRPr="001553BB" w:rsidRDefault="006F146E" w:rsidP="006F146E">
      <w:pPr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lastRenderedPageBreak/>
        <w:t>План работы по направлению «Организация исследовательской и проектной работы школьников».</w:t>
      </w:r>
    </w:p>
    <w:p w:rsidR="006F146E" w:rsidRPr="001553BB" w:rsidRDefault="006F146E" w:rsidP="006F146E">
      <w:pPr>
        <w:ind w:left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ind w:firstLine="426"/>
        <w:contextualSpacing/>
        <w:jc w:val="both"/>
        <w:rPr>
          <w:rFonts w:eastAsia="Calibri"/>
          <w:i/>
          <w:sz w:val="28"/>
          <w:szCs w:val="28"/>
        </w:rPr>
      </w:pPr>
      <w:r w:rsidRPr="001553BB">
        <w:rPr>
          <w:rFonts w:eastAsia="Calibri"/>
          <w:sz w:val="28"/>
          <w:szCs w:val="28"/>
        </w:rPr>
        <w:t>Для всех межрайонных советов директоров рекомендована единая форма плана мероприятий, пр</w:t>
      </w:r>
      <w:r>
        <w:rPr>
          <w:rFonts w:eastAsia="Calibri"/>
          <w:sz w:val="28"/>
          <w:szCs w:val="28"/>
        </w:rPr>
        <w:t>оводимых по данному направлению</w:t>
      </w:r>
      <w:r w:rsidRPr="001553BB">
        <w:rPr>
          <w:rFonts w:eastAsia="Calibri"/>
          <w:i/>
          <w:sz w:val="28"/>
          <w:szCs w:val="28"/>
        </w:rPr>
        <w:t>.</w:t>
      </w:r>
    </w:p>
    <w:p w:rsidR="006F146E" w:rsidRPr="001553BB" w:rsidRDefault="006F146E" w:rsidP="006F146E">
      <w:pPr>
        <w:ind w:firstLine="426"/>
        <w:contextualSpacing/>
        <w:jc w:val="both"/>
        <w:rPr>
          <w:rFonts w:eastAsia="Calibri"/>
          <w:sz w:val="28"/>
          <w:szCs w:val="28"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559"/>
      </w:tblGrid>
      <w:tr w:rsidR="006F146E" w:rsidRPr="001553BB" w:rsidTr="00ED0955">
        <w:tc>
          <w:tcPr>
            <w:tcW w:w="675" w:type="dxa"/>
          </w:tcPr>
          <w:p w:rsidR="006F146E" w:rsidRPr="001553BB" w:rsidRDefault="006F146E" w:rsidP="00ED0955">
            <w:pPr>
              <w:ind w:right="2032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Наименование работ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Срок</w:t>
            </w: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553BB">
              <w:rPr>
                <w:rFonts w:asciiTheme="minorHAnsi" w:hAnsiTheme="minorHAnsi"/>
                <w:sz w:val="28"/>
                <w:szCs w:val="28"/>
              </w:rPr>
              <w:t>Предост</w:t>
            </w:r>
            <w:proofErr w:type="spellEnd"/>
            <w:r w:rsidRPr="001553BB">
              <w:rPr>
                <w:rFonts w:asciiTheme="minorHAnsi" w:hAnsiTheme="minorHAnsi"/>
                <w:sz w:val="28"/>
                <w:szCs w:val="28"/>
              </w:rPr>
              <w:t>. данных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Подготовка и рассылка информационного письма об организации I и II этапов Конкурса в школы территории.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Определение ответственных координаторов в школах территории.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+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1553BB">
              <w:rPr>
                <w:rFonts w:asciiTheme="minorHAnsi" w:hAnsiTheme="minorHAnsi"/>
                <w:sz w:val="28"/>
                <w:szCs w:val="28"/>
              </w:rPr>
              <w:t>Контроль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553BB">
              <w:rPr>
                <w:rFonts w:asciiTheme="minorHAnsi" w:hAnsiTheme="minorHAnsi"/>
                <w:sz w:val="28"/>
                <w:szCs w:val="28"/>
              </w:rPr>
              <w:t>за</w:t>
            </w:r>
            <w:proofErr w:type="gramEnd"/>
            <w:r w:rsidRPr="001553BB">
              <w:rPr>
                <w:rFonts w:asciiTheme="minorHAnsi" w:hAnsiTheme="minorHAnsi"/>
                <w:sz w:val="28"/>
                <w:szCs w:val="28"/>
              </w:rPr>
              <w:t xml:space="preserve"> прохождением слушателями курсов повышения квалификации (организуется школами).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Определение базовой школы, создание Оргкомитета межрайонной конференции, определение порядка финансирования.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+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Организация семинаров и консультаций для руководителей работ и экспертов, участвующих в школьных конференциях (при</w:t>
            </w:r>
            <w:r>
              <w:rPr>
                <w:rFonts w:asciiTheme="minorHAnsi" w:hAnsiTheme="minorHAnsi"/>
                <w:sz w:val="28"/>
                <w:szCs w:val="28"/>
              </w:rPr>
              <w:t>глашение специалистов, лекторов</w:t>
            </w:r>
            <w:r w:rsidRPr="001553BB">
              <w:rPr>
                <w:rFonts w:asciiTheme="minorHAnsi" w:hAnsiTheme="minorHAnsi"/>
                <w:sz w:val="28"/>
                <w:szCs w:val="28"/>
              </w:rPr>
              <w:t xml:space="preserve"> по мере необходимости).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+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Составление графика проведения школьных конференций.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+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Проведение совещания для организаторов школьных конференций – ответственных координаторов в школах.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+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Проведение школьных конференций и контроль их качества.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Сбор отчетов о школьных конференциях и формирование списка участников межрайонной конференции.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Проведение совещания по организации межрайонной конференции.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+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Проведение межрайонной конференции.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Сдача списка участников финала в Городской Оргкомитет.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+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Подг</w:t>
            </w:r>
            <w:r>
              <w:rPr>
                <w:rFonts w:asciiTheme="minorHAnsi" w:hAnsiTheme="minorHAnsi"/>
                <w:sz w:val="28"/>
                <w:szCs w:val="28"/>
              </w:rPr>
              <w:t>отовка и контроль участия  финалистов</w:t>
            </w:r>
            <w:r w:rsidRPr="001553BB">
              <w:rPr>
                <w:rFonts w:asciiTheme="minorHAnsi" w:hAnsiTheme="minorHAnsi"/>
                <w:sz w:val="28"/>
                <w:szCs w:val="28"/>
              </w:rPr>
              <w:t xml:space="preserve"> в городских мероприятиях 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4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096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Подго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товка аналитических материалов </w:t>
            </w:r>
            <w:r w:rsidRPr="001553B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lastRenderedPageBreak/>
              <w:t>конференций</w:t>
            </w:r>
            <w:r w:rsidRPr="001553B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553BB">
              <w:rPr>
                <w:rFonts w:asciiTheme="minorHAnsi" w:hAnsiTheme="minorHAnsi"/>
                <w:sz w:val="28"/>
                <w:szCs w:val="28"/>
                <w:lang w:val="en-US"/>
              </w:rPr>
              <w:t>I</w:t>
            </w:r>
            <w:r w:rsidRPr="001553BB">
              <w:rPr>
                <w:rFonts w:asciiTheme="minorHAnsi" w:hAnsiTheme="minorHAnsi"/>
                <w:sz w:val="28"/>
                <w:szCs w:val="28"/>
              </w:rPr>
              <w:t xml:space="preserve"> и </w:t>
            </w:r>
            <w:r w:rsidRPr="001553BB">
              <w:rPr>
                <w:rFonts w:asciiTheme="minorHAnsi" w:hAnsiTheme="minorHAnsi"/>
                <w:sz w:val="28"/>
                <w:szCs w:val="28"/>
                <w:lang w:val="en-US"/>
              </w:rPr>
              <w:t>II</w:t>
            </w:r>
            <w:r w:rsidRPr="001553BB">
              <w:rPr>
                <w:rFonts w:asciiTheme="minorHAnsi" w:hAnsiTheme="minorHAnsi"/>
                <w:sz w:val="28"/>
                <w:szCs w:val="28"/>
              </w:rPr>
              <w:t xml:space="preserve"> этапов.</w:t>
            </w:r>
          </w:p>
        </w:tc>
        <w:tc>
          <w:tcPr>
            <w:tcW w:w="1417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</w:tcPr>
          <w:p w:rsidR="006F146E" w:rsidRPr="001553BB" w:rsidRDefault="006F146E" w:rsidP="00ED09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+</w:t>
            </w:r>
          </w:p>
        </w:tc>
      </w:tr>
    </w:tbl>
    <w:p w:rsidR="006F146E" w:rsidRPr="001553BB" w:rsidRDefault="006F146E" w:rsidP="006F146E">
      <w:pPr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t>По</w:t>
      </w:r>
      <w:r>
        <w:rPr>
          <w:rFonts w:eastAsia="Calibri"/>
          <w:b/>
          <w:sz w:val="28"/>
          <w:szCs w:val="28"/>
        </w:rPr>
        <w:t>дбор координаторов и налаживание</w:t>
      </w:r>
      <w:r w:rsidRPr="001553BB">
        <w:rPr>
          <w:rFonts w:eastAsia="Calibri"/>
          <w:b/>
          <w:sz w:val="28"/>
          <w:szCs w:val="28"/>
        </w:rPr>
        <w:t xml:space="preserve"> их работы на ур</w:t>
      </w:r>
      <w:r>
        <w:rPr>
          <w:rFonts w:eastAsia="Calibri"/>
          <w:b/>
          <w:sz w:val="28"/>
          <w:szCs w:val="28"/>
        </w:rPr>
        <w:t>овне образовательных организаций</w:t>
      </w:r>
      <w:r w:rsidRPr="001553BB">
        <w:rPr>
          <w:rFonts w:eastAsia="Calibri"/>
          <w:b/>
          <w:sz w:val="28"/>
          <w:szCs w:val="28"/>
        </w:rPr>
        <w:t>. Функции координаторов.</w:t>
      </w:r>
    </w:p>
    <w:p w:rsidR="006F146E" w:rsidRPr="001553BB" w:rsidRDefault="006F146E" w:rsidP="006F146E">
      <w:pPr>
        <w:ind w:left="567"/>
        <w:contextualSpacing/>
        <w:jc w:val="both"/>
        <w:rPr>
          <w:rFonts w:eastAsia="Calibri"/>
          <w:b/>
          <w:sz w:val="28"/>
          <w:szCs w:val="28"/>
        </w:rPr>
      </w:pPr>
    </w:p>
    <w:p w:rsidR="006F146E" w:rsidRPr="001553BB" w:rsidRDefault="006F146E" w:rsidP="006F146E">
      <w:pPr>
        <w:tabs>
          <w:tab w:val="num" w:pos="0"/>
        </w:tabs>
        <w:ind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В каждой образовательной организации своей территории назначается специалист, который организует работу в этом направлении. Им может быть заместитель директора по УВР, либо учитель с дополнительным функционалом. Этот специалист имеет, как правило, успешную практику руководства исследовательскими или проектными работами школьников и опыт работы на школьных конференциях. Координатор работает в тесном контакте с межрайонным координатором, разрабатывает план работы образовательной организации по направлению исследовательской и проектной деятельности и представляет его межрайонному координатору в соответствии с настоящими рекомендациями.</w:t>
      </w:r>
    </w:p>
    <w:p w:rsidR="006F146E" w:rsidRPr="001553BB" w:rsidRDefault="006F146E" w:rsidP="006F146E">
      <w:pPr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t xml:space="preserve">План работы образовательной организации по направлению «Организация исследовательской и проектной работы школьников». </w:t>
      </w:r>
    </w:p>
    <w:p w:rsidR="006F146E" w:rsidRPr="001553BB" w:rsidRDefault="006F146E" w:rsidP="006F146E">
      <w:pPr>
        <w:ind w:left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План работы образовательной организации (школы, колледжа) по этому направлению является частью основной образовательной программы по развитию универсальных учебных действий и внеурочной деятельности, при этом он интегрирован с программой  отдельных учебных предметов. План включает мероприятия по подбору кадров и повышению квалификации руководителей и организаторов исследовательской и проектной деятельности; учебные и развивающие мероприятия для учащихся; выполнение ими исследовательских и/или проектных работ; диагностику (аттестацию) образовательных результатов этой деятельности, а также график проведения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 Московского городского конкурса исследовательских и проектных работ – конференции.</w:t>
      </w:r>
    </w:p>
    <w:p w:rsidR="006F146E" w:rsidRPr="001553BB" w:rsidRDefault="006F146E" w:rsidP="006F146E">
      <w:pPr>
        <w:ind w:left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ind w:left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Пример плана работы образовательной организации</w:t>
      </w:r>
    </w:p>
    <w:tbl>
      <w:tblPr>
        <w:tblStyle w:val="1"/>
        <w:tblW w:w="9587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824"/>
      </w:tblGrid>
      <w:tr w:rsidR="006F146E" w:rsidRPr="001553BB" w:rsidTr="00ED0955">
        <w:tc>
          <w:tcPr>
            <w:tcW w:w="675" w:type="dxa"/>
          </w:tcPr>
          <w:p w:rsidR="006F146E" w:rsidRPr="001553BB" w:rsidRDefault="006F146E" w:rsidP="00ED0955">
            <w:pPr>
              <w:ind w:right="2032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Наименование работ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Срок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Создание методического объединения по проектной и исследовательской деятельности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Разработка плана внеурочной деятельности в части, касающейся исследовательской и проектной деятельности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Разработка и утверждение программ элективных курсов, дополнительных образовательных программ для реализации групповых и индивидуальных исследовательских и проектных работ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Разработка и утверждение плана работы методического объединения (включая консультационную работу с приглашением внешних специалистов) и плана работы школы по направлению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 xml:space="preserve">Определение кадрового состава руководителей и организаторов, работающих по направлению 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Направление специалистов на дистанционные курсы повышения квалификации ЦПМ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Представление </w:t>
            </w:r>
            <w:r w:rsidRPr="001553BB">
              <w:rPr>
                <w:rFonts w:asciiTheme="minorHAnsi" w:hAnsiTheme="minorHAnsi"/>
                <w:sz w:val="28"/>
                <w:szCs w:val="28"/>
              </w:rPr>
              <w:t>учащимся руководителей исследовательских и проектных работ и их тематики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 xml:space="preserve">Распределение учащихся по темам и руководителям 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 xml:space="preserve">Проведение презентаций постановочных частей работ на школьных семинарах 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 xml:space="preserve">Проведение тематических мероприятий для учащихся: фестиваль науки, неделя науки, исследовательская экскурсия, </w:t>
            </w:r>
            <w:proofErr w:type="spellStart"/>
            <w:r w:rsidRPr="001553BB">
              <w:rPr>
                <w:rFonts w:asciiTheme="minorHAnsi" w:hAnsiTheme="minorHAnsi"/>
                <w:sz w:val="28"/>
                <w:szCs w:val="28"/>
              </w:rPr>
              <w:t>профориентационные</w:t>
            </w:r>
            <w:proofErr w:type="spellEnd"/>
            <w:r w:rsidRPr="001553BB">
              <w:rPr>
                <w:rFonts w:asciiTheme="minorHAnsi" w:hAnsiTheme="minorHAnsi"/>
                <w:sz w:val="28"/>
                <w:szCs w:val="28"/>
              </w:rPr>
              <w:t xml:space="preserve"> мероприятия и др.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Подготовка и проведение  школьной конференции.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Определение состава участников для участия в межрайонной конференции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Участие уч</w:t>
            </w:r>
            <w:r>
              <w:rPr>
                <w:rFonts w:asciiTheme="minorHAnsi" w:hAnsiTheme="minorHAnsi"/>
                <w:sz w:val="28"/>
                <w:szCs w:val="28"/>
              </w:rPr>
              <w:t>ащихся во внешних мероприятиях:</w:t>
            </w:r>
            <w:r w:rsidRPr="001553BB">
              <w:rPr>
                <w:rFonts w:asciiTheme="minorHAnsi" w:hAnsiTheme="minorHAnsi"/>
                <w:sz w:val="28"/>
                <w:szCs w:val="28"/>
              </w:rPr>
              <w:t xml:space="preserve"> независимых конференциях, исследовательских и проектных школах, стажировках, экспедициях и др.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Подготовка годового отчета по направлению и отчета о школьной конференции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Участие в межрайонной конференции.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5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 xml:space="preserve">Подготовка и контроль участия учащихся в городских мероприятиях 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6F146E" w:rsidRPr="001553BB" w:rsidRDefault="006F146E" w:rsidP="006F146E">
      <w:pPr>
        <w:ind w:left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t>Организация и проведение I этапа Московского городского конкурса исследовательских и проектных работ школьников (конференция образовательной организации).</w:t>
      </w:r>
    </w:p>
    <w:p w:rsidR="006F146E" w:rsidRPr="001553BB" w:rsidRDefault="006F146E" w:rsidP="006F146E">
      <w:pPr>
        <w:ind w:left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Координатор образовательной организации (школы, колледжа) формирует и представляет на утверждение директору образовательной организации состав Оргкомитета конференции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этапа. 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Координатор организует работу по следующим направлениям: 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утверждает (по согласованию с Оргкомитетом второго (межрайонного) этапа) состав экспертных комиссий по тематическим направлениям Конкурса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определяет график рассмотрения апелляций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 Конкурса;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по представлению Экспертных комиссий по тематическим направлениям </w:t>
      </w:r>
      <w:proofErr w:type="gramStart"/>
      <w:r w:rsidRPr="001553BB">
        <w:rPr>
          <w:rFonts w:eastAsia="Calibri"/>
          <w:sz w:val="28"/>
          <w:szCs w:val="28"/>
        </w:rPr>
        <w:t>утверждает</w:t>
      </w:r>
      <w:proofErr w:type="gramEnd"/>
      <w:r w:rsidRPr="001553BB">
        <w:rPr>
          <w:rFonts w:eastAsia="Calibri"/>
          <w:sz w:val="28"/>
          <w:szCs w:val="28"/>
        </w:rPr>
        <w:t xml:space="preserve"> списки победителей и призеров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 Конкурса и </w:t>
      </w:r>
      <w:r w:rsidRPr="001553BB">
        <w:rPr>
          <w:rFonts w:eastAsia="Calibri"/>
          <w:sz w:val="28"/>
          <w:szCs w:val="28"/>
        </w:rPr>
        <w:lastRenderedPageBreak/>
        <w:t>подает в Оргкомитет второго (межрайонного) этапа Конкурса список участников;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рассматривает конфликтные ситуации, возникшие при проведении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 Конкурса;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вносит в Оргкомитет второго (межрайонного) этапа Конкурса предложения по совершенствованию проведения Конкурса;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представляет ежегодный отчет по итогам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 в Оргкомитет второго (межрайонного) этапа Конкурса; 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организует награждение победителей и призеров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 конкурса, а также подготовивших их научных руководителей.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Координатор межрайонного совета собирает информацию о проведении </w:t>
      </w:r>
      <w:r w:rsidRPr="001553BB"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 xml:space="preserve"> этапа Конкурса по форме, контролирует</w:t>
      </w:r>
      <w:r w:rsidRPr="001553BB">
        <w:rPr>
          <w:rFonts w:eastAsia="Calibri"/>
          <w:sz w:val="28"/>
          <w:szCs w:val="28"/>
        </w:rPr>
        <w:t xml:space="preserve"> проведение, оказывает помощь в подборе экспертов, дает рекомендации по всем вопросам, связанным с проведением. На основе представления Оргкомитетов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 формирует состав участников межрайонной конференции, собирает и обобщает отчеты о проведении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 Конкурса.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Конференция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 Конкурса проводится за счет средств государственной услуги.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Экспертиза работ на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этапе проводится в соответствии с </w:t>
      </w:r>
      <w:r>
        <w:rPr>
          <w:rFonts w:eastAsia="Calibri"/>
          <w:sz w:val="28"/>
          <w:szCs w:val="28"/>
        </w:rPr>
        <w:t>едиными критериями и регламентами</w:t>
      </w:r>
      <w:r w:rsidRPr="001553BB">
        <w:rPr>
          <w:rFonts w:eastAsia="Calibri"/>
          <w:sz w:val="28"/>
          <w:szCs w:val="28"/>
        </w:rPr>
        <w:t xml:space="preserve"> экспертизы исследовательских и проектных работ обучающихся. </w:t>
      </w:r>
    </w:p>
    <w:p w:rsidR="006F146E" w:rsidRPr="001553BB" w:rsidRDefault="006F146E" w:rsidP="006F146E">
      <w:pPr>
        <w:ind w:left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ind w:left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График подготовки и проведения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 Конкурса – конференции образовательной организации.</w:t>
      </w:r>
    </w:p>
    <w:tbl>
      <w:tblPr>
        <w:tblStyle w:val="1"/>
        <w:tblW w:w="9587" w:type="dxa"/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824"/>
      </w:tblGrid>
      <w:tr w:rsidR="006F146E" w:rsidRPr="001553BB" w:rsidTr="00ED0955">
        <w:tc>
          <w:tcPr>
            <w:tcW w:w="675" w:type="dxa"/>
          </w:tcPr>
          <w:p w:rsidR="006F146E" w:rsidRPr="001553BB" w:rsidRDefault="006F146E" w:rsidP="00ED0955">
            <w:pPr>
              <w:ind w:right="2032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Наименование работ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Срок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6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Определение сроков и формы проведения конференции образовательной организации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53DF6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6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 xml:space="preserve">Предоставление информационной справки по конференции координатору межрайонного совета 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253DF6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6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Формирование базы данных исследовательских и проектных работ обучающихся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6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Определение количества и тематики секций, форматов их работы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6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Подбор экспертных комиссий и их консультации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Декабрь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6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Проведение конференции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Декабрь-январь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6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Подведение итогов конференции, определение состава участников межрайонной конференции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Январь</w:t>
            </w:r>
          </w:p>
        </w:tc>
      </w:tr>
      <w:tr w:rsidR="006F146E" w:rsidRPr="001553BB" w:rsidTr="00ED0955">
        <w:tc>
          <w:tcPr>
            <w:tcW w:w="675" w:type="dxa"/>
          </w:tcPr>
          <w:p w:rsidR="006F146E" w:rsidRPr="001553BB" w:rsidRDefault="006F146E" w:rsidP="006F146E">
            <w:pPr>
              <w:numPr>
                <w:ilvl w:val="0"/>
                <w:numId w:val="6"/>
              </w:numPr>
              <w:tabs>
                <w:tab w:val="left" w:pos="284"/>
              </w:tabs>
              <w:ind w:left="470" w:hanging="357"/>
              <w:contextualSpacing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7088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Сдача отчета о проведении конференции координатору межрайонного совета</w:t>
            </w:r>
          </w:p>
        </w:tc>
        <w:tc>
          <w:tcPr>
            <w:tcW w:w="1824" w:type="dxa"/>
          </w:tcPr>
          <w:p w:rsidR="006F146E" w:rsidRPr="001553BB" w:rsidRDefault="006F146E" w:rsidP="00ED095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553BB">
              <w:rPr>
                <w:rFonts w:asciiTheme="minorHAnsi" w:hAnsiTheme="minorHAnsi"/>
                <w:sz w:val="28"/>
                <w:szCs w:val="28"/>
              </w:rPr>
              <w:t>Февраль</w:t>
            </w:r>
          </w:p>
        </w:tc>
      </w:tr>
    </w:tbl>
    <w:p w:rsidR="006F146E" w:rsidRPr="001553BB" w:rsidRDefault="006F146E" w:rsidP="006F146E">
      <w:pPr>
        <w:ind w:left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lastRenderedPageBreak/>
        <w:t xml:space="preserve">Подбор школы для проведения </w:t>
      </w:r>
      <w:r w:rsidRPr="001553BB">
        <w:rPr>
          <w:rFonts w:eastAsia="Calibri"/>
          <w:b/>
          <w:sz w:val="28"/>
          <w:szCs w:val="28"/>
          <w:lang w:val="en-US"/>
        </w:rPr>
        <w:t>II</w:t>
      </w:r>
      <w:r w:rsidRPr="001553BB">
        <w:rPr>
          <w:rFonts w:eastAsia="Calibri"/>
          <w:b/>
          <w:sz w:val="28"/>
          <w:szCs w:val="28"/>
        </w:rPr>
        <w:t xml:space="preserve"> (межрайонного) этапа Московского городского конкурса исследовательских и проектных работ школьников (межрайонной конференции).</w:t>
      </w:r>
    </w:p>
    <w:p w:rsidR="006F146E" w:rsidRPr="001553BB" w:rsidRDefault="006F146E" w:rsidP="006F146E">
      <w:pPr>
        <w:ind w:left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ind w:firstLine="567"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Межрайонная конференция проводится в базовой школе, которая утверждается Председателем межрайонного совета директоров. </w:t>
      </w:r>
      <w:proofErr w:type="gramStart"/>
      <w:r w:rsidRPr="001553BB">
        <w:rPr>
          <w:rFonts w:eastAsia="Calibri"/>
          <w:sz w:val="28"/>
          <w:szCs w:val="28"/>
        </w:rPr>
        <w:t>При подборе школы рекомендуется учитывать опыт коллектива в проведении массовых содержательных мероприятий разного уровня – научно-практических конференций, выставок и др. При этом важен опыт как в организационном направлении (система регистрации, размещения участников, режиссура церемонии открытия,  информационное обеспечение и др.), так и в содержании конференции (наличие квалифицированных учителей-экспертов в школе, связи с организациями-партнерами и другими научно-практическими конференциями школьников, откуда можно пригласить экспертов</w:t>
      </w:r>
      <w:proofErr w:type="gramEnd"/>
      <w:r w:rsidRPr="001553BB">
        <w:rPr>
          <w:rFonts w:eastAsia="Calibri"/>
          <w:sz w:val="28"/>
          <w:szCs w:val="28"/>
        </w:rPr>
        <w:t>). Рекомендуется проводить межрайонные конференции на основе базовых конференций Московского городского конкурса прошлых лет (при наличии на территории учреждения, проводящего такую конференцию), использовать опыт окружных конференций и др.</w:t>
      </w:r>
    </w:p>
    <w:p w:rsidR="006F146E" w:rsidRPr="001553BB" w:rsidRDefault="006F146E" w:rsidP="006F146E">
      <w:pPr>
        <w:ind w:firstLine="567"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Рекомендуется выбирать школу с хорошей транспортной доступностью.</w:t>
      </w:r>
    </w:p>
    <w:p w:rsidR="006F146E" w:rsidRPr="001553BB" w:rsidRDefault="006F146E" w:rsidP="006F146E">
      <w:pPr>
        <w:ind w:firstLine="567"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Межрайонная конференция может быть организована в следующих форматах: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proofErr w:type="gramStart"/>
      <w:r w:rsidRPr="001553BB">
        <w:rPr>
          <w:rFonts w:eastAsia="Calibri"/>
          <w:sz w:val="28"/>
          <w:szCs w:val="28"/>
        </w:rPr>
        <w:t>на базе двух или нескольких школ (в этом случае либо разные секции проводятся на базе разных школ, либо конференции для разных возрастных категорий учащихся (младшая, основная, старшая ступени) организуются в разных школах.</w:t>
      </w:r>
      <w:proofErr w:type="gramEnd"/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объединение нескольких межрайонных советов и проведение единой конференции для двух или нескольких территорий;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проведение одной из тематических секций, на которую в каждой из территорий не набирается необходимого количества участников (например, по астрономии), на базе одной из межрайонных конференций, которая по данному направлению объединяет несколько территорий. </w:t>
      </w:r>
    </w:p>
    <w:p w:rsidR="006F146E" w:rsidRPr="001553BB" w:rsidRDefault="006F146E" w:rsidP="006F146E">
      <w:pPr>
        <w:ind w:left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t>Составление сметы на проведение конференции и определение механизмов финансирования.</w:t>
      </w:r>
    </w:p>
    <w:p w:rsidR="006F146E" w:rsidRPr="001553BB" w:rsidRDefault="006F146E" w:rsidP="006F146E">
      <w:pPr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ind w:firstLine="426"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Межрайонные конференции финансируются за счет государственных работ на проведение конференций и иных конкурсных мероприятий, предусмотренных в соответствующих планах работы.</w:t>
      </w:r>
    </w:p>
    <w:p w:rsidR="006F146E" w:rsidRPr="001553BB" w:rsidRDefault="006F146E" w:rsidP="006F146E">
      <w:pPr>
        <w:ind w:firstLine="426"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 </w:t>
      </w:r>
    </w:p>
    <w:p w:rsidR="006F146E" w:rsidRPr="001553BB" w:rsidRDefault="006F146E" w:rsidP="006F146E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lastRenderedPageBreak/>
        <w:t>Дистанционные курсы повышения квалификации для руководителей исследовательских и проектных работ и экспертов на школьных и межрайонных конференциях.</w:t>
      </w:r>
    </w:p>
    <w:p w:rsidR="006F146E" w:rsidRPr="001553BB" w:rsidRDefault="006F146E" w:rsidP="006F146E">
      <w:pPr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Ключевым условием развития в Москве единой системы исследовательской и проектной работы школьников, является создание единых стандартов выполнения, руководства и экспертизы таких работ. С этой целью в Центре педагогического мастерства разработана дополнительная профессиональная программа "Развитие таланта школьников в предметных областях. Организация и проведение этапов всероссийской олимпиады школьников и других интеллектуальных соревнований" в</w:t>
      </w:r>
      <w:r>
        <w:rPr>
          <w:rFonts w:eastAsia="Calibri"/>
          <w:sz w:val="28"/>
          <w:szCs w:val="28"/>
        </w:rPr>
        <w:t xml:space="preserve"> дистанционной форме, включающей</w:t>
      </w:r>
      <w:r w:rsidRPr="001553BB">
        <w:rPr>
          <w:rFonts w:eastAsia="Calibri"/>
          <w:sz w:val="28"/>
          <w:szCs w:val="28"/>
        </w:rPr>
        <w:t xml:space="preserve"> модули:</w:t>
      </w:r>
    </w:p>
    <w:p w:rsidR="006F146E" w:rsidRPr="001553BB" w:rsidRDefault="006F146E" w:rsidP="006F146E">
      <w:pPr>
        <w:numPr>
          <w:ilvl w:val="0"/>
          <w:numId w:val="7"/>
        </w:numPr>
        <w:ind w:left="0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,,О</w:t>
      </w:r>
      <w:r w:rsidRPr="001553BB">
        <w:rPr>
          <w:rFonts w:eastAsia="Calibri"/>
          <w:sz w:val="28"/>
          <w:szCs w:val="28"/>
        </w:rPr>
        <w:t>рганизация исследовательской и проектной деятельности. Ознакомительный курс</w:t>
      </w:r>
      <w:r>
        <w:rPr>
          <w:rFonts w:eastAsia="Calibri"/>
          <w:sz w:val="28"/>
          <w:szCs w:val="28"/>
          <w:lang w:val="en-US"/>
        </w:rPr>
        <w:t>”</w:t>
      </w:r>
      <w:r w:rsidRPr="001553BB">
        <w:rPr>
          <w:rFonts w:eastAsia="Calibri"/>
          <w:sz w:val="28"/>
          <w:szCs w:val="28"/>
        </w:rPr>
        <w:t>.</w:t>
      </w:r>
    </w:p>
    <w:p w:rsidR="006F146E" w:rsidRPr="001553BB" w:rsidRDefault="006F146E" w:rsidP="006F146E">
      <w:pPr>
        <w:numPr>
          <w:ilvl w:val="0"/>
          <w:numId w:val="7"/>
        </w:numPr>
        <w:ind w:left="0"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,,</w:t>
      </w:r>
      <w:r w:rsidRPr="001553BB">
        <w:rPr>
          <w:rFonts w:eastAsia="Calibri"/>
          <w:sz w:val="28"/>
          <w:szCs w:val="28"/>
        </w:rPr>
        <w:t>Проектно-исследовательская деятельность. Курс для экспертов</w:t>
      </w:r>
      <w:r w:rsidRPr="008A5DDC">
        <w:rPr>
          <w:rFonts w:eastAsia="Calibri"/>
          <w:sz w:val="28"/>
          <w:szCs w:val="28"/>
        </w:rPr>
        <w:t>”</w:t>
      </w:r>
      <w:r w:rsidRPr="001553BB">
        <w:rPr>
          <w:rFonts w:eastAsia="Calibri"/>
          <w:sz w:val="28"/>
          <w:szCs w:val="28"/>
        </w:rPr>
        <w:t>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В рамках тематически</w:t>
      </w:r>
      <w:r>
        <w:rPr>
          <w:rFonts w:eastAsia="Calibri"/>
          <w:sz w:val="28"/>
          <w:szCs w:val="28"/>
        </w:rPr>
        <w:t>х</w:t>
      </w:r>
      <w:r w:rsidRPr="001553BB">
        <w:rPr>
          <w:rFonts w:eastAsia="Calibri"/>
          <w:sz w:val="28"/>
          <w:szCs w:val="28"/>
        </w:rPr>
        <w:t xml:space="preserve"> занятий, каждое из которых состоит из </w:t>
      </w:r>
      <w:proofErr w:type="spellStart"/>
      <w:r w:rsidRPr="001553BB">
        <w:rPr>
          <w:rFonts w:eastAsia="Calibri"/>
          <w:sz w:val="28"/>
          <w:szCs w:val="28"/>
        </w:rPr>
        <w:t>видеолекции</w:t>
      </w:r>
      <w:proofErr w:type="spellEnd"/>
      <w:r w:rsidRPr="001553BB">
        <w:rPr>
          <w:rFonts w:eastAsia="Calibri"/>
          <w:sz w:val="28"/>
          <w:szCs w:val="28"/>
        </w:rPr>
        <w:t xml:space="preserve">, презентации, текста и контрольного теста, слушатели знакомятся с основными методологическими положениями исследовательской и проектной деятельности, выполняют практические задания, основанные на реальной практике этой работы. 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Запись на курсы осуществляется на основе пригласительных билетов, распределяемых централизованно.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Рекомендуется от каждой школы направить на каждый из модулей по 2-3 человека в соответствии с их профилем.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t xml:space="preserve">Организация обучающих семинаров  для руководителей и организаторов </w:t>
      </w:r>
      <w:r w:rsidRPr="001553BB">
        <w:rPr>
          <w:rFonts w:eastAsia="Calibri"/>
          <w:b/>
          <w:sz w:val="28"/>
          <w:szCs w:val="28"/>
          <w:lang w:val="en-US"/>
        </w:rPr>
        <w:t>I</w:t>
      </w:r>
      <w:r w:rsidRPr="001553BB">
        <w:rPr>
          <w:rFonts w:eastAsia="Calibri"/>
          <w:b/>
          <w:sz w:val="28"/>
          <w:szCs w:val="28"/>
        </w:rPr>
        <w:t xml:space="preserve"> этапа Конкурса. </w:t>
      </w:r>
    </w:p>
    <w:p w:rsidR="006F146E" w:rsidRPr="001553BB" w:rsidRDefault="006F146E" w:rsidP="006F146E">
      <w:pPr>
        <w:ind w:left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Важным фактором в повышении качества выполнения обучающимися исследовательских и проектных работ является профессиональные компетенции руководителей работ и экспертов в этой области. При этом традиционно для нашей образовательной системы у большинства учителей эти компетенции развиты недостаточно.  Поэтому координатор межрайонного совета планирует, по необходимости, сеть семинаров для руководителей  исследовательских и проектных работ школьников и экспертов из школ территории. Семинары проводятся на основе материалов курсов повышения квалификации и с приглашением специалистов ЦПМ. Главная цель семинаров – консультации руководителей по планам выполнения р</w:t>
      </w:r>
      <w:r>
        <w:rPr>
          <w:rFonts w:eastAsia="Calibri"/>
          <w:sz w:val="28"/>
          <w:szCs w:val="28"/>
        </w:rPr>
        <w:t xml:space="preserve">абот с </w:t>
      </w:r>
      <w:proofErr w:type="gramStart"/>
      <w:r>
        <w:rPr>
          <w:rFonts w:eastAsia="Calibri"/>
          <w:sz w:val="28"/>
          <w:szCs w:val="28"/>
        </w:rPr>
        <w:t>обучающимися</w:t>
      </w:r>
      <w:proofErr w:type="gramEnd"/>
      <w:r>
        <w:rPr>
          <w:rFonts w:eastAsia="Calibri"/>
          <w:sz w:val="28"/>
          <w:szCs w:val="28"/>
        </w:rPr>
        <w:t xml:space="preserve"> и подготовка</w:t>
      </w:r>
      <w:r w:rsidRPr="001553BB">
        <w:rPr>
          <w:rFonts w:eastAsia="Calibri"/>
          <w:sz w:val="28"/>
          <w:szCs w:val="28"/>
        </w:rPr>
        <w:t xml:space="preserve"> их к участию в конференциях разного уровня. Координатор обеспечивает информирование коллективов образовательных организаций территории о графике проведения семинаров. К проведению семинаров координатор может </w:t>
      </w:r>
      <w:r w:rsidRPr="001553BB">
        <w:rPr>
          <w:rFonts w:eastAsia="Calibri"/>
          <w:sz w:val="28"/>
          <w:szCs w:val="28"/>
        </w:rPr>
        <w:lastRenderedPageBreak/>
        <w:t>привлекать специалистов ЦПМ, ГБПОУ «Воробьевы горы», специалистов профильных ресурсных центров. В течение ноября-декабря в каждой территории рекомендуется провести 2-3 семинара.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t xml:space="preserve">Проведение </w:t>
      </w:r>
      <w:r w:rsidRPr="001553BB">
        <w:rPr>
          <w:rFonts w:eastAsia="Calibri"/>
          <w:b/>
          <w:sz w:val="28"/>
          <w:szCs w:val="28"/>
          <w:lang w:val="en-US"/>
        </w:rPr>
        <w:t>II</w:t>
      </w:r>
      <w:r w:rsidRPr="001553BB">
        <w:rPr>
          <w:rFonts w:eastAsia="Calibri"/>
          <w:b/>
          <w:sz w:val="28"/>
          <w:szCs w:val="28"/>
        </w:rPr>
        <w:t xml:space="preserve"> (межрайонного) этапа конкурса - межрайонной конференции.</w:t>
      </w:r>
    </w:p>
    <w:p w:rsidR="006F146E" w:rsidRPr="001553BB" w:rsidRDefault="006F146E" w:rsidP="006F146E">
      <w:pPr>
        <w:ind w:left="720"/>
        <w:contextualSpacing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Межрайонную конференцию Конкурса проводит школа, утвержденная решением Председателя межрайонного совета директоров.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Координатор межрайонного совета осуществляет </w:t>
      </w:r>
      <w:proofErr w:type="gramStart"/>
      <w:r w:rsidRPr="001553BB">
        <w:rPr>
          <w:rFonts w:eastAsia="Calibri"/>
          <w:sz w:val="28"/>
          <w:szCs w:val="28"/>
        </w:rPr>
        <w:t>контроль за</w:t>
      </w:r>
      <w:proofErr w:type="gramEnd"/>
      <w:r w:rsidRPr="001553BB">
        <w:rPr>
          <w:rFonts w:eastAsia="Calibri"/>
          <w:sz w:val="28"/>
          <w:szCs w:val="28"/>
        </w:rPr>
        <w:t xml:space="preserve"> подготовкой и проведением межрайонной конференции. 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Межрайонный координатор формирует проект состава Оргкомитета межрайонной конференции и представляет его на согласование в Городской Оргкомитет и утверждение Председателю межрайонного совета директоров. Координатор является ответственным секретарем Оргкомитета.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В соответствии с Положением, Оргкомитет второго этапа организует работу по следующим направлениям: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подбирает для проведения межрайонных конференций руководителей секций (в соответствии с определенным количеством и направлениями);</w:t>
      </w:r>
    </w:p>
    <w:p w:rsidR="006F146E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утверждает (по соглас</w:t>
      </w:r>
      <w:r>
        <w:rPr>
          <w:rFonts w:eastAsia="Calibri"/>
          <w:sz w:val="28"/>
          <w:szCs w:val="28"/>
        </w:rPr>
        <w:t>ованию с Оргкомитетом третьего, городского,</w:t>
      </w:r>
      <w:r w:rsidRPr="001553BB">
        <w:rPr>
          <w:rFonts w:eastAsia="Calibri"/>
          <w:sz w:val="28"/>
          <w:szCs w:val="28"/>
        </w:rPr>
        <w:t xml:space="preserve"> этапа) состав экспертных комиссий по тематическим направлениям Конкурса своего этапа (по представлению руководителей секций);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информирует образовательные организации, расположенные на его территории (в т. ч. колледжи и негосударственные образовательные учреждения) обо всех мероприятиях, проходящих в рамках Конкурса;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приглашает экспертов по разным тематическим направлениям из  Ресурсных центров, других межрайонных конференций (совместно с руководителями секций), научных учреждений,  вузов;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согласует состав экспертных комиссий по тематическим направлениям Конкурса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организует семинары и консультации для руководителей исследовательских и проектных работ на своей территории, а также экспертов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и </w:t>
      </w:r>
      <w:r w:rsidRPr="001553BB">
        <w:rPr>
          <w:rFonts w:eastAsia="Calibri"/>
          <w:sz w:val="28"/>
          <w:szCs w:val="28"/>
          <w:lang w:val="en-US"/>
        </w:rPr>
        <w:t>II</w:t>
      </w:r>
      <w:r w:rsidRPr="001553BB">
        <w:rPr>
          <w:rFonts w:eastAsia="Calibri"/>
          <w:sz w:val="28"/>
          <w:szCs w:val="28"/>
        </w:rPr>
        <w:t xml:space="preserve"> этапов Конкурса;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подготавливает и направляет в образовательные учреждения информационное письмо о проведении второго этапа;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определяет норму представительства от школ на </w:t>
      </w:r>
      <w:r w:rsidRPr="001553BB">
        <w:rPr>
          <w:rFonts w:eastAsia="Calibri"/>
          <w:sz w:val="28"/>
          <w:szCs w:val="28"/>
          <w:lang w:val="en-US"/>
        </w:rPr>
        <w:t>II</w:t>
      </w:r>
      <w:r w:rsidRPr="001553BB">
        <w:rPr>
          <w:rFonts w:eastAsia="Calibri"/>
          <w:sz w:val="28"/>
          <w:szCs w:val="28"/>
        </w:rPr>
        <w:t xml:space="preserve"> (межрайонный) этап Конкурса исходя из среднего количества работ на конференции (150 шт</w:t>
      </w:r>
      <w:r>
        <w:rPr>
          <w:rFonts w:eastAsia="Calibri"/>
          <w:sz w:val="28"/>
          <w:szCs w:val="28"/>
        </w:rPr>
        <w:t>ук</w:t>
      </w:r>
      <w:r w:rsidRPr="001553BB">
        <w:rPr>
          <w:rFonts w:eastAsia="Calibri"/>
          <w:sz w:val="28"/>
          <w:szCs w:val="28"/>
        </w:rPr>
        <w:t xml:space="preserve">) с учетом статуса школы, 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определяет график рассмотрения апелляций на </w:t>
      </w:r>
      <w:r w:rsidRPr="001553BB">
        <w:rPr>
          <w:rFonts w:eastAsia="Calibri"/>
          <w:sz w:val="28"/>
          <w:szCs w:val="28"/>
          <w:lang w:val="en-US"/>
        </w:rPr>
        <w:t>II</w:t>
      </w:r>
      <w:r w:rsidRPr="001553BB">
        <w:rPr>
          <w:rFonts w:eastAsia="Calibri"/>
          <w:sz w:val="28"/>
          <w:szCs w:val="28"/>
        </w:rPr>
        <w:t xml:space="preserve"> этапе Конкурса (подача апелляций по процедуре в течение 1 часа, по содержанию в течение 2 дней после объявления результатов);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lastRenderedPageBreak/>
        <w:t xml:space="preserve">координирует работу и утверждает отчеты оргкомитетов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этапа Конкурса;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утверждает списки победителей и призеров второго (межрайонного) этапа Конкурса и подает в Городской оргкомитет список участников третьего (городского) этапа Конкурса;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рассматривает конфликтные ситуации, возникшие при проведении </w:t>
      </w:r>
      <w:r w:rsidRPr="001553BB">
        <w:rPr>
          <w:rFonts w:eastAsia="Calibri"/>
          <w:sz w:val="28"/>
          <w:szCs w:val="28"/>
          <w:lang w:val="en-US"/>
        </w:rPr>
        <w:t>I</w:t>
      </w:r>
      <w:r w:rsidRPr="001553BB">
        <w:rPr>
          <w:rFonts w:eastAsia="Calibri"/>
          <w:sz w:val="28"/>
          <w:szCs w:val="28"/>
        </w:rPr>
        <w:t xml:space="preserve"> и </w:t>
      </w:r>
      <w:r w:rsidRPr="001553BB">
        <w:rPr>
          <w:rFonts w:eastAsia="Calibri"/>
          <w:sz w:val="28"/>
          <w:szCs w:val="28"/>
          <w:lang w:val="en-US"/>
        </w:rPr>
        <w:t>II</w:t>
      </w:r>
      <w:r w:rsidRPr="001553BB">
        <w:rPr>
          <w:rFonts w:eastAsia="Calibri"/>
          <w:sz w:val="28"/>
          <w:szCs w:val="28"/>
        </w:rPr>
        <w:t xml:space="preserve"> этапов Конкурса;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вносит предложения по совершенствованию проведения Конкурса;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представляет ежегодный отчет по итогам первого и второго этапов в Городской оргкомитет;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организует награждение победителей и призеров </w:t>
      </w:r>
      <w:r w:rsidRPr="001553BB">
        <w:rPr>
          <w:rFonts w:eastAsia="Calibri"/>
          <w:sz w:val="28"/>
          <w:szCs w:val="28"/>
          <w:lang w:val="en-US"/>
        </w:rPr>
        <w:t>II</w:t>
      </w:r>
      <w:r w:rsidRPr="001553BB">
        <w:rPr>
          <w:rFonts w:eastAsia="Calibri"/>
          <w:sz w:val="28"/>
          <w:szCs w:val="28"/>
        </w:rPr>
        <w:t xml:space="preserve"> этапа Конкурса, а также подготовивших их научных руководителей.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Руководители секций межрайонной конференции: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формируют состав экспертных комиссий по своему направлению и представляют его межрайонному координатору;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организуют предварительную экспертизу представленных на конференцию работ обучающихся;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организуют экспертизу на межрайонной конференции;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обеспечиваю</w:t>
      </w:r>
      <w:r w:rsidRPr="001553BB">
        <w:rPr>
          <w:rFonts w:eastAsia="Calibri"/>
          <w:sz w:val="28"/>
          <w:szCs w:val="28"/>
        </w:rPr>
        <w:t>т рассмотрение апелляций по содержанию в течение 5 дней после получения апелляции;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подводят итоги работы своей секции, определяют состав участников, выдвигаемых на III (городской) этап Конкурса, победителей и призеров,  номинантов;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готовят аналитические материалы по своему направлению для отчета о проведении межрайонной конференции.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Регистрация работ на межрайонную конференцию школьными координаторами проводится через единую информационную систему на базе ресурса </w:t>
      </w:r>
      <w:proofErr w:type="spellStart"/>
      <w:r w:rsidRPr="001553BB">
        <w:rPr>
          <w:rFonts w:eastAsia="Calibri"/>
          <w:sz w:val="28"/>
          <w:szCs w:val="28"/>
          <w:lang w:val="en-US"/>
        </w:rPr>
        <w:t>mgk</w:t>
      </w:r>
      <w:proofErr w:type="spellEnd"/>
      <w:r w:rsidRPr="001553BB">
        <w:rPr>
          <w:rFonts w:eastAsia="Calibri"/>
          <w:sz w:val="28"/>
          <w:szCs w:val="28"/>
        </w:rPr>
        <w:t>.</w:t>
      </w:r>
      <w:proofErr w:type="spellStart"/>
      <w:r w:rsidRPr="001553BB">
        <w:rPr>
          <w:rFonts w:eastAsia="Calibri"/>
          <w:sz w:val="28"/>
          <w:szCs w:val="28"/>
          <w:lang w:val="en-US"/>
        </w:rPr>
        <w:t>olimpiada</w:t>
      </w:r>
      <w:proofErr w:type="spellEnd"/>
      <w:r w:rsidRPr="001553BB">
        <w:rPr>
          <w:rFonts w:eastAsia="Calibri"/>
          <w:sz w:val="28"/>
          <w:szCs w:val="28"/>
        </w:rPr>
        <w:t>.</w:t>
      </w:r>
      <w:proofErr w:type="spellStart"/>
      <w:r w:rsidRPr="001553BB">
        <w:rPr>
          <w:rFonts w:eastAsia="Calibri"/>
          <w:sz w:val="28"/>
          <w:szCs w:val="28"/>
          <w:lang w:val="en-US"/>
        </w:rPr>
        <w:t>ru</w:t>
      </w:r>
      <w:proofErr w:type="spellEnd"/>
      <w:r w:rsidRPr="001553BB">
        <w:rPr>
          <w:rFonts w:eastAsia="Calibri"/>
          <w:sz w:val="28"/>
          <w:szCs w:val="28"/>
        </w:rPr>
        <w:t xml:space="preserve">. 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Межрайонные конференции проводятся, как правило,  в стендовой форме. 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Экспертиза работ на межрайонной конференции проводится в соответствии с едиными критериями и регламентами экспертизы исследовательских и проектных работ школьников, утвержденными для всех уровней Конкурса.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</w:p>
    <w:p w:rsidR="006F146E" w:rsidRPr="001553BB" w:rsidRDefault="006F146E" w:rsidP="006F146E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  <w:b/>
          <w:sz w:val="28"/>
          <w:szCs w:val="28"/>
        </w:rPr>
      </w:pPr>
      <w:r w:rsidRPr="001553BB">
        <w:rPr>
          <w:rFonts w:eastAsia="Calibri"/>
          <w:b/>
          <w:sz w:val="28"/>
          <w:szCs w:val="28"/>
        </w:rPr>
        <w:t>Ресурсные центры Московского городского конкурса исследовательских и проектных работ обучающихся.</w:t>
      </w:r>
    </w:p>
    <w:p w:rsidR="006F146E" w:rsidRPr="001553BB" w:rsidRDefault="006F146E" w:rsidP="006F146E">
      <w:pPr>
        <w:ind w:left="567"/>
        <w:contextualSpacing/>
        <w:jc w:val="both"/>
        <w:rPr>
          <w:rFonts w:eastAsia="Calibri"/>
          <w:b/>
          <w:sz w:val="28"/>
          <w:szCs w:val="28"/>
        </w:rPr>
      </w:pP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Ресурсные центры Конкурса создаются на базе образовательных учреждений, имеющих значительный опыт в организации конференций и конкурсов обучающихся и организации экспертной работы в этой области.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lastRenderedPageBreak/>
        <w:t>П</w:t>
      </w:r>
      <w:r>
        <w:rPr>
          <w:rFonts w:eastAsia="Calibri"/>
          <w:sz w:val="28"/>
          <w:szCs w:val="28"/>
        </w:rPr>
        <w:t>л</w:t>
      </w:r>
      <w:r w:rsidRPr="001553BB">
        <w:rPr>
          <w:rFonts w:eastAsia="Calibri"/>
          <w:sz w:val="28"/>
          <w:szCs w:val="28"/>
        </w:rPr>
        <w:t>анирует работу Ресурсного центра координатор, который разрабатывает, утверждает и публикует план работы Ресурсного центра.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Ресурсный центр  ведё</w:t>
      </w:r>
      <w:r w:rsidRPr="001553BB">
        <w:rPr>
          <w:rFonts w:eastAsia="Calibri"/>
          <w:sz w:val="28"/>
          <w:szCs w:val="28"/>
        </w:rPr>
        <w:t>т методическую и координационную работу по следующим направлениям: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обучающие и методические семинары для руководителей исследовательских и проектных работ и экспертов первого и второго этапов Конкурса по своим тематическим направлениям;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проведение модулей дополнительных профессиональных программ повышения квалификации по различным аспектам исследовательской и проектной деятельности (при наличии соответствующей лицензии);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 xml:space="preserve">проведение индивидуальных консультаций руководителей и </w:t>
      </w:r>
      <w:proofErr w:type="gramStart"/>
      <w:r w:rsidRPr="001553BB">
        <w:rPr>
          <w:rFonts w:eastAsia="Calibri"/>
          <w:sz w:val="28"/>
          <w:szCs w:val="28"/>
        </w:rPr>
        <w:t>авторов</w:t>
      </w:r>
      <w:proofErr w:type="gramEnd"/>
      <w:r w:rsidRPr="001553BB">
        <w:rPr>
          <w:rFonts w:eastAsia="Calibri"/>
          <w:sz w:val="28"/>
          <w:szCs w:val="28"/>
        </w:rPr>
        <w:t xml:space="preserve"> исследовательских и проектных работ на разных этапах их выполнения (дистанционные или очные);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выезды специалистов на конференции и проведение экспертиз качества работы секций по своим тематическим направлениям и  анализ соответствия работы экспертных групп критериям и регламентам проведения конференции с составлением рекомендаций;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формирование экспертной комиссии и координация проведения третьего этапа конкурса по своим тематическим направлениям;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проведение конференции по своим тематическим направлениям и организация рецензирования и развивающей экспертизы исследовательских и проектных работ с выдачей рекомендаций по их развитию;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формирование сообщества экспертов конференций и конкурсов по своим тематическим направлениям;</w:t>
      </w:r>
    </w:p>
    <w:p w:rsidR="006F146E" w:rsidRPr="001553BB" w:rsidRDefault="006F146E" w:rsidP="006F146E">
      <w:pPr>
        <w:numPr>
          <w:ilvl w:val="0"/>
          <w:numId w:val="7"/>
        </w:numPr>
        <w:ind w:left="0" w:firstLine="426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составление методических рекомендаций для руководителей исследовательских и проектных работ по своим тематическим направлениям.</w:t>
      </w:r>
    </w:p>
    <w:p w:rsidR="006F146E" w:rsidRPr="001553BB" w:rsidRDefault="006F146E" w:rsidP="006F146E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1553BB">
        <w:rPr>
          <w:rFonts w:eastAsia="Calibri"/>
          <w:sz w:val="28"/>
          <w:szCs w:val="28"/>
        </w:rPr>
        <w:t>Критерием эффективности работы ресурсного центра является охват специалистов и образовательных организаций мероприятиями, организованными ресурсным центром.</w:t>
      </w:r>
      <w:bookmarkStart w:id="0" w:name="_GoBack"/>
      <w:bookmarkEnd w:id="0"/>
    </w:p>
    <w:sectPr w:rsidR="006F146E" w:rsidRPr="0015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A23"/>
    <w:multiLevelType w:val="hybridMultilevel"/>
    <w:tmpl w:val="3744B842"/>
    <w:lvl w:ilvl="0" w:tplc="11BE0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D5CA2"/>
    <w:multiLevelType w:val="hybridMultilevel"/>
    <w:tmpl w:val="EEB66838"/>
    <w:lvl w:ilvl="0" w:tplc="20E412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5BF3C6B"/>
    <w:multiLevelType w:val="hybridMultilevel"/>
    <w:tmpl w:val="EEFE23E8"/>
    <w:lvl w:ilvl="0" w:tplc="8446E5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C58F6"/>
    <w:multiLevelType w:val="hybridMultilevel"/>
    <w:tmpl w:val="2F2858CA"/>
    <w:lvl w:ilvl="0" w:tplc="11BE04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A63401C"/>
    <w:multiLevelType w:val="hybridMultilevel"/>
    <w:tmpl w:val="EEFE23E8"/>
    <w:lvl w:ilvl="0" w:tplc="8446E5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10946"/>
    <w:multiLevelType w:val="hybridMultilevel"/>
    <w:tmpl w:val="086A1D8C"/>
    <w:lvl w:ilvl="0" w:tplc="11BE04C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1007FC8"/>
    <w:multiLevelType w:val="hybridMultilevel"/>
    <w:tmpl w:val="EEFE23E8"/>
    <w:lvl w:ilvl="0" w:tplc="8446E5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742ED"/>
    <w:multiLevelType w:val="hybridMultilevel"/>
    <w:tmpl w:val="FAA2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E2ACC"/>
    <w:multiLevelType w:val="hybridMultilevel"/>
    <w:tmpl w:val="1A442CC0"/>
    <w:lvl w:ilvl="0" w:tplc="8446E51E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6E"/>
    <w:rsid w:val="001177FC"/>
    <w:rsid w:val="00203AA0"/>
    <w:rsid w:val="00375C38"/>
    <w:rsid w:val="003C6A3D"/>
    <w:rsid w:val="003E3016"/>
    <w:rsid w:val="00494829"/>
    <w:rsid w:val="004D5FE8"/>
    <w:rsid w:val="006959A0"/>
    <w:rsid w:val="006F146E"/>
    <w:rsid w:val="00717291"/>
    <w:rsid w:val="00724128"/>
    <w:rsid w:val="009D26CF"/>
    <w:rsid w:val="009D79F9"/>
    <w:rsid w:val="00C353FD"/>
    <w:rsid w:val="00CE66A3"/>
    <w:rsid w:val="00D70594"/>
    <w:rsid w:val="00F9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A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F14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F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AA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F146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F1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2016-01-26T14:05:00Z</dcterms:created>
  <dcterms:modified xsi:type="dcterms:W3CDTF">2016-01-26T21:09:00Z</dcterms:modified>
</cp:coreProperties>
</file>